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57F7" w14:textId="77777777" w:rsidR="00D04FB3" w:rsidRDefault="00D04FB3">
      <w:pPr>
        <w:rPr>
          <w:rFonts w:cstheme="minorHAnsi"/>
          <w:bCs/>
          <w:color w:val="ED7D31" w:themeColor="accent2"/>
          <w:u w:val="single"/>
        </w:rPr>
      </w:pPr>
    </w:p>
    <w:p w14:paraId="3F890EF8" w14:textId="2D8D24C3" w:rsidR="002E0E56" w:rsidRPr="00D04FB3" w:rsidRDefault="00E47666">
      <w:pPr>
        <w:rPr>
          <w:rFonts w:cstheme="minorHAnsi"/>
          <w:bCs/>
          <w:color w:val="000000" w:themeColor="text1"/>
          <w:u w:val="single"/>
        </w:rPr>
      </w:pPr>
      <w:r w:rsidRPr="00D04FB3">
        <w:rPr>
          <w:rFonts w:cstheme="minorHAnsi"/>
          <w:bCs/>
          <w:color w:val="000000" w:themeColor="text1"/>
          <w:u w:val="single"/>
        </w:rPr>
        <w:t>Basın Bülteni</w:t>
      </w:r>
      <w:r w:rsidR="00D04FB3">
        <w:rPr>
          <w:rFonts w:cstheme="minorHAnsi"/>
          <w:bCs/>
          <w:color w:val="000000" w:themeColor="text1"/>
          <w:u w:val="single"/>
        </w:rPr>
        <w:t xml:space="preserve">                                                                                                                                     03 Ocak 2023</w:t>
      </w:r>
    </w:p>
    <w:p w14:paraId="509C9960" w14:textId="1A27C8A3" w:rsidR="007200AE" w:rsidRPr="007200AE" w:rsidRDefault="007200AE" w:rsidP="007200AE">
      <w:pPr>
        <w:jc w:val="center"/>
        <w:rPr>
          <w:rFonts w:ascii="Calibri" w:eastAsia="Times New Roman" w:hAnsi="Calibri" w:cs="Calibri"/>
          <w:b/>
          <w:bCs/>
          <w:sz w:val="40"/>
          <w:szCs w:val="40"/>
          <w:lang w:eastAsia="tr-TR"/>
        </w:rPr>
      </w:pPr>
      <w:r w:rsidRPr="007200AE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BİGG </w:t>
      </w:r>
      <w:proofErr w:type="spellStart"/>
      <w:r w:rsidRPr="007200AE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Cube</w:t>
      </w:r>
      <w:proofErr w:type="spellEnd"/>
      <w:r w:rsidRPr="007200AE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</w:t>
      </w:r>
      <w:proofErr w:type="spellStart"/>
      <w:r w:rsidRPr="007200AE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Incubation</w:t>
      </w:r>
      <w:proofErr w:type="spellEnd"/>
      <w:r w:rsidRPr="007200AE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</w:t>
      </w:r>
      <w:r w:rsidR="00CC7C89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i</w:t>
      </w:r>
      <w:r w:rsidRPr="007200AE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le Girişimcilere Tam Destek</w:t>
      </w:r>
      <w:r w:rsidR="00CC7C89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!</w:t>
      </w:r>
    </w:p>
    <w:p w14:paraId="696DA0EE" w14:textId="2B2D6037" w:rsidR="008508E6" w:rsidRPr="007C6397" w:rsidRDefault="007200AE" w:rsidP="008508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Teknopark İstanbul</w:t>
      </w:r>
      <w:r w:rsidR="008508E6" w:rsidRPr="007C639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;</w:t>
      </w: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İstanbul Ticaret Üniversitesi</w:t>
      </w:r>
      <w:r w:rsidR="00F354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, Sakarya Teknokent, Sanofi </w:t>
      </w: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ve</w:t>
      </w:r>
      <w:r w:rsidR="00F354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Türk Telekomünikasyon </w:t>
      </w: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iş</w:t>
      </w:r>
      <w:r w:rsidR="00F354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birliğinde TÜBİTAK 1512</w:t>
      </w:r>
      <w:r w:rsidR="00F354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Girişimcilik</w:t>
      </w: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Destek</w:t>
      </w:r>
      <w:r w:rsidR="00F354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leme</w:t>
      </w:r>
      <w:r w:rsidRPr="007200A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Programı ile girişimcilik ekosistemine sağladığı destek</w:t>
      </w:r>
      <w:r w:rsidR="008F34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ler devam ediyor.</w:t>
      </w:r>
    </w:p>
    <w:p w14:paraId="4666056D" w14:textId="77777777" w:rsidR="008508E6" w:rsidRPr="007C6397" w:rsidRDefault="008508E6" w:rsidP="0072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22B4DC0E" w14:textId="7C2A8843" w:rsidR="007200AE" w:rsidRPr="007200AE" w:rsidRDefault="007200AE" w:rsidP="0072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200AE">
        <w:rPr>
          <w:rFonts w:ascii="Calibri" w:eastAsia="Times New Roman" w:hAnsi="Calibri" w:cs="Calibri"/>
          <w:color w:val="000000"/>
          <w:lang w:eastAsia="tr-TR"/>
        </w:rPr>
        <w:t>Teknopark İstanbul’un kuluçka merkezi Cube Incubation; BİGG Cube Incubation projesiyle TÜBİTAK 1601 BİGG (Bireysel Genç Girişim) projesi kapsamında</w:t>
      </w:r>
      <w:r w:rsidR="00D86ACC">
        <w:rPr>
          <w:rFonts w:ascii="Calibri" w:eastAsia="Times New Roman" w:hAnsi="Calibri" w:cs="Calibri"/>
          <w:color w:val="000000"/>
          <w:lang w:eastAsia="tr-TR"/>
        </w:rPr>
        <w:t xml:space="preserve"> 3</w:t>
      </w:r>
      <w:r w:rsidR="00F354C0">
        <w:rPr>
          <w:rFonts w:ascii="Calibri" w:eastAsia="Times New Roman" w:hAnsi="Calibri" w:cs="Calibri"/>
          <w:color w:val="000000"/>
          <w:lang w:eastAsia="tr-TR"/>
        </w:rPr>
        <w:t>7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 uygulayıcı kuruluş </w:t>
      </w:r>
      <w:r w:rsidR="00D86ACC">
        <w:rPr>
          <w:rFonts w:ascii="Calibri" w:eastAsia="Times New Roman" w:hAnsi="Calibri" w:cs="Calibri"/>
          <w:color w:val="000000"/>
          <w:lang w:eastAsia="tr-TR"/>
        </w:rPr>
        <w:t xml:space="preserve">arasından </w:t>
      </w:r>
      <w:r w:rsidRPr="007200AE">
        <w:rPr>
          <w:rFonts w:ascii="Calibri" w:eastAsia="Times New Roman" w:hAnsi="Calibri" w:cs="Calibri"/>
          <w:color w:val="000000"/>
          <w:lang w:eastAsia="tr-TR"/>
        </w:rPr>
        <w:t>destek almaya hak kazandı.</w:t>
      </w:r>
      <w:r w:rsidR="001A1773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1A1773" w:rsidRPr="001A1773">
        <w:rPr>
          <w:rFonts w:ascii="Calibri" w:eastAsia="Times New Roman" w:hAnsi="Calibri" w:cs="Calibri"/>
          <w:color w:val="000000"/>
          <w:lang w:eastAsia="tr-TR"/>
        </w:rPr>
        <w:t>İstanbul Ticaret Üniversitesi</w:t>
      </w:r>
      <w:r w:rsidR="00F354C0">
        <w:rPr>
          <w:rFonts w:ascii="Calibri" w:eastAsia="Times New Roman" w:hAnsi="Calibri" w:cs="Calibri"/>
          <w:color w:val="000000"/>
          <w:lang w:eastAsia="tr-TR"/>
        </w:rPr>
        <w:t xml:space="preserve">, Sakarya Teknokent, Sanofi </w:t>
      </w:r>
      <w:r w:rsidR="001A1773" w:rsidRPr="001A1773">
        <w:rPr>
          <w:rFonts w:ascii="Calibri" w:eastAsia="Times New Roman" w:hAnsi="Calibri" w:cs="Calibri"/>
          <w:color w:val="000000"/>
          <w:lang w:eastAsia="tr-TR"/>
        </w:rPr>
        <w:t xml:space="preserve">ve </w:t>
      </w:r>
      <w:r w:rsidR="00F354C0">
        <w:rPr>
          <w:rFonts w:ascii="Calibri" w:eastAsia="Times New Roman" w:hAnsi="Calibri" w:cs="Calibri"/>
          <w:color w:val="000000"/>
          <w:lang w:eastAsia="tr-TR"/>
        </w:rPr>
        <w:t xml:space="preserve">Türk Telekomünikasyon </w:t>
      </w:r>
      <w:r w:rsidR="001A1773" w:rsidRPr="001A1773">
        <w:rPr>
          <w:rFonts w:ascii="Calibri" w:eastAsia="Times New Roman" w:hAnsi="Calibri" w:cs="Calibri"/>
          <w:color w:val="000000"/>
          <w:lang w:eastAsia="tr-TR"/>
        </w:rPr>
        <w:t>iş birliğind</w:t>
      </w:r>
      <w:r w:rsidR="001A1773">
        <w:rPr>
          <w:rFonts w:ascii="Calibri" w:eastAsia="Times New Roman" w:hAnsi="Calibri" w:cs="Calibri"/>
          <w:color w:val="000000"/>
          <w:lang w:eastAsia="tr-TR"/>
        </w:rPr>
        <w:t>e yürütülecek olan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1A1773">
        <w:rPr>
          <w:rFonts w:ascii="Calibri" w:eastAsia="Times New Roman" w:hAnsi="Calibri" w:cs="Calibri"/>
          <w:color w:val="000000"/>
          <w:lang w:eastAsia="tr-TR"/>
        </w:rPr>
        <w:t>p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rojeyle </w:t>
      </w:r>
      <w:r w:rsidR="008508E6" w:rsidRPr="007C6397">
        <w:rPr>
          <w:rFonts w:ascii="Calibri" w:eastAsia="Times New Roman" w:hAnsi="Calibri" w:cs="Calibri"/>
          <w:color w:val="000000"/>
          <w:lang w:eastAsia="tr-TR"/>
        </w:rPr>
        <w:t xml:space="preserve">akıllı ulaşım, temiz teknolojiler, akıllı üretim sistemleri, iletişim ve sayısal dönüşüm, sağlık ve iyi yaşam, sürdürülebilir tarım ve beslenme </w:t>
      </w:r>
      <w:r w:rsidRPr="007200AE">
        <w:rPr>
          <w:rFonts w:ascii="Calibri" w:eastAsia="Times New Roman" w:hAnsi="Calibri" w:cs="Calibri"/>
          <w:color w:val="000000"/>
          <w:lang w:eastAsia="tr-TR"/>
        </w:rPr>
        <w:t>alanlarında iş fikri olan girişimcilere mentorl</w:t>
      </w:r>
      <w:r w:rsidR="0035275E">
        <w:rPr>
          <w:rFonts w:ascii="Calibri" w:eastAsia="Times New Roman" w:hAnsi="Calibri" w:cs="Calibri"/>
          <w:color w:val="000000"/>
          <w:lang w:eastAsia="tr-TR"/>
        </w:rPr>
        <w:t>u</w:t>
      </w:r>
      <w:r w:rsidRPr="007200AE">
        <w:rPr>
          <w:rFonts w:ascii="Calibri" w:eastAsia="Times New Roman" w:hAnsi="Calibri" w:cs="Calibri"/>
          <w:color w:val="000000"/>
          <w:lang w:eastAsia="tr-TR"/>
        </w:rPr>
        <w:t>k desteği verilmesi hedefleniyor.</w:t>
      </w:r>
      <w:r w:rsidR="007C6397" w:rsidRPr="007C6397">
        <w:t xml:space="preserve"> Programa; </w:t>
      </w:r>
      <w:r w:rsidR="00F354C0">
        <w:t xml:space="preserve">Ön lisans, lisans, yüksek lisans, doktora öğrencileri ve mezunlar </w:t>
      </w:r>
      <w:r w:rsidR="007C6397" w:rsidRPr="007C6397">
        <w:rPr>
          <w:rFonts w:ascii="Calibri" w:eastAsia="Times New Roman" w:hAnsi="Calibri" w:cs="Calibri"/>
          <w:color w:val="000000"/>
          <w:lang w:eastAsia="tr-TR"/>
        </w:rPr>
        <w:t>başvurabiliyor. T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eknoloji ve yenilik odaklı iş fikirlerine ön ödemeli </w:t>
      </w:r>
      <w:r w:rsidR="00F354C0">
        <w:rPr>
          <w:rFonts w:ascii="Calibri" w:eastAsia="Times New Roman" w:hAnsi="Calibri" w:cs="Calibri"/>
          <w:color w:val="000000"/>
          <w:lang w:eastAsia="tr-TR"/>
        </w:rPr>
        <w:t>450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.000 TL hibe desteği sağlayan TÜBİTAK BİGG programına, </w:t>
      </w:r>
      <w:hyperlink r:id="rId9" w:history="1">
        <w:r w:rsidR="000C4C18" w:rsidRPr="001474F1">
          <w:rPr>
            <w:rStyle w:val="Kpr"/>
            <w:rFonts w:ascii="Calibri" w:eastAsia="Times New Roman" w:hAnsi="Calibri" w:cs="Calibri"/>
            <w:lang w:eastAsia="tr-TR"/>
          </w:rPr>
          <w:t>https://www.cubeincubation.com/basvur</w:t>
        </w:r>
      </w:hyperlink>
      <w:r w:rsidR="000C4C18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7200AE">
        <w:rPr>
          <w:rFonts w:ascii="Calibri" w:eastAsia="Times New Roman" w:hAnsi="Calibri" w:cs="Calibri"/>
          <w:color w:val="000000"/>
          <w:lang w:eastAsia="tr-TR"/>
        </w:rPr>
        <w:t>linki üzerinden başvuru yapılabiliyor.</w:t>
      </w:r>
    </w:p>
    <w:p w14:paraId="111F6579" w14:textId="77777777" w:rsidR="007200AE" w:rsidRPr="007200AE" w:rsidRDefault="007200AE" w:rsidP="0072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7C848827" w14:textId="2C206001" w:rsidR="007200AE" w:rsidRPr="007200AE" w:rsidRDefault="008508E6" w:rsidP="0072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C6397">
        <w:rPr>
          <w:rFonts w:ascii="Calibri" w:eastAsia="Times New Roman" w:hAnsi="Calibri" w:cs="Calibri"/>
          <w:color w:val="000000"/>
          <w:lang w:eastAsia="tr-TR"/>
        </w:rPr>
        <w:t>Cube Incubation; g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irişimcilik ve yeni fikirlere verdiği önem</w:t>
      </w:r>
      <w:r w:rsidRPr="007C6397">
        <w:rPr>
          <w:rFonts w:ascii="Calibri" w:eastAsia="Times New Roman" w:hAnsi="Calibri" w:cs="Calibri"/>
          <w:color w:val="000000"/>
          <w:lang w:eastAsia="tr-TR"/>
        </w:rPr>
        <w:t>le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 xml:space="preserve"> girişimcilerin iş fikirlerini hayata geçirme yolunda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 karşılaştıkları birçok zorluğu aşmaları için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 xml:space="preserve"> çözüm üretiyor. 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Cube Incubation son olarak TÜBİTAK’tan destek almaya hak kazandığı yeni projesi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kapsamında</w:t>
      </w:r>
      <w:r w:rsidR="001A1773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girişimcilere</w:t>
      </w:r>
      <w:r w:rsidRPr="007C6397">
        <w:rPr>
          <w:rFonts w:ascii="Calibri" w:eastAsia="Times New Roman" w:hAnsi="Calibri" w:cs="Calibri"/>
          <w:color w:val="000000"/>
          <w:lang w:eastAsia="tr-TR"/>
        </w:rPr>
        <w:t>;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 xml:space="preserve"> iş fikirlerini geliştirmeleri, fikir ve ortaya çıkacak ürünün doğrulanması,</w:t>
      </w:r>
      <w:r w:rsidR="00F354C0">
        <w:rPr>
          <w:rFonts w:ascii="Calibri" w:eastAsia="Times New Roman" w:hAnsi="Calibri" w:cs="Calibri"/>
          <w:color w:val="000000"/>
          <w:lang w:eastAsia="tr-TR"/>
        </w:rPr>
        <w:t xml:space="preserve"> proje yazımı,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performans analizlerinin yapılması, iş planlarının değerlendirilmesi gibi ihtiyaç duyabilecekleri her alan ve konuda eğitim ve mentorluk desteği sağlama</w:t>
      </w:r>
      <w:r w:rsidRPr="007C6397">
        <w:rPr>
          <w:rFonts w:ascii="Calibri" w:eastAsia="Times New Roman" w:hAnsi="Calibri" w:cs="Calibri"/>
          <w:color w:val="000000"/>
          <w:lang w:eastAsia="tr-TR"/>
        </w:rPr>
        <w:t>y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ı amaçl</w:t>
      </w:r>
      <w:r w:rsidRPr="007C6397">
        <w:rPr>
          <w:rFonts w:ascii="Calibri" w:eastAsia="Times New Roman" w:hAnsi="Calibri" w:cs="Calibri"/>
          <w:color w:val="000000"/>
          <w:lang w:eastAsia="tr-TR"/>
        </w:rPr>
        <w:t>ı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yor. BİGG Cube Incubation projesiyle girişimciler</w:t>
      </w:r>
      <w:r w:rsidRPr="007C6397">
        <w:rPr>
          <w:rFonts w:ascii="Calibri" w:eastAsia="Times New Roman" w:hAnsi="Calibri" w:cs="Calibri"/>
          <w:color w:val="000000"/>
          <w:lang w:eastAsia="tr-TR"/>
        </w:rPr>
        <w:t>;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 xml:space="preserve"> ofis, 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ıslak kuru laboratuvar ve temiz oda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imkanlarından yararlan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ırken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 xml:space="preserve">Teknopark İstanbul’un sunacağı geniş network sayesinde 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de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çeşitli şirketlerle görüşme imkanı bulacak ve derin teknoloji tabanlı geliştirmeler yapan girişimler ile aynı ekosistemde çalışmalarını hayata geçirebilecekler. Girişimciler ayrıca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 Teknopark İstanbul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Teknoloji Transfer Ofisi</w:t>
      </w:r>
      <w:r w:rsidRPr="007C6397">
        <w:rPr>
          <w:rFonts w:ascii="Calibri" w:eastAsia="Times New Roman" w:hAnsi="Calibri" w:cs="Calibri"/>
          <w:color w:val="000000"/>
          <w:lang w:eastAsia="tr-TR"/>
        </w:rPr>
        <w:t xml:space="preserve"> (TTO) aracılığıyla </w:t>
      </w:r>
      <w:r w:rsidR="007200AE" w:rsidRPr="007200AE">
        <w:rPr>
          <w:rFonts w:ascii="Calibri" w:eastAsia="Times New Roman" w:hAnsi="Calibri" w:cs="Calibri"/>
          <w:color w:val="000000"/>
          <w:lang w:eastAsia="tr-TR"/>
        </w:rPr>
        <w:t>patent desteği alabilecekleri gibi dijital medya ve PR çalışmaları kapsamında sunulan desteklerden de rahatlıkla yaralanabilecekler.</w:t>
      </w:r>
    </w:p>
    <w:p w14:paraId="0EB67BB3" w14:textId="77777777" w:rsidR="007200AE" w:rsidRPr="007200AE" w:rsidRDefault="007200AE" w:rsidP="0072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037E902D" w14:textId="419F1096" w:rsidR="007200AE" w:rsidRPr="007C6397" w:rsidRDefault="007200AE" w:rsidP="007200A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200AE">
        <w:rPr>
          <w:rFonts w:ascii="Calibri" w:eastAsia="Times New Roman" w:hAnsi="Calibri" w:cs="Calibri"/>
          <w:color w:val="000000"/>
          <w:lang w:eastAsia="tr-TR"/>
        </w:rPr>
        <w:t>Geniş</w:t>
      </w:r>
      <w:r w:rsidR="00F354C0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7200AE">
        <w:rPr>
          <w:rFonts w:ascii="Calibri" w:eastAsia="Times New Roman" w:hAnsi="Calibri" w:cs="Calibri"/>
          <w:color w:val="000000"/>
          <w:lang w:eastAsia="tr-TR"/>
        </w:rPr>
        <w:t>imkan</w:t>
      </w:r>
      <w:proofErr w:type="gramEnd"/>
      <w:r w:rsidRPr="007200AE">
        <w:rPr>
          <w:rFonts w:ascii="Calibri" w:eastAsia="Times New Roman" w:hAnsi="Calibri" w:cs="Calibri"/>
          <w:color w:val="000000"/>
          <w:lang w:eastAsia="tr-TR"/>
        </w:rPr>
        <w:t xml:space="preserve"> ve destekler</w:t>
      </w:r>
      <w:r w:rsidR="007C6397" w:rsidRPr="007C6397">
        <w:rPr>
          <w:rFonts w:ascii="Calibri" w:eastAsia="Times New Roman" w:hAnsi="Calibri" w:cs="Calibri"/>
          <w:color w:val="000000"/>
          <w:lang w:eastAsia="tr-TR"/>
        </w:rPr>
        <w:t xml:space="preserve"> sunan BİGG Cube Incubation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 program</w:t>
      </w:r>
      <w:r w:rsidR="007C6397" w:rsidRPr="007C6397">
        <w:rPr>
          <w:rFonts w:ascii="Calibri" w:eastAsia="Times New Roman" w:hAnsi="Calibri" w:cs="Calibri"/>
          <w:color w:val="000000"/>
          <w:lang w:eastAsia="tr-TR"/>
        </w:rPr>
        <w:t>ın</w:t>
      </w:r>
      <w:r w:rsidRPr="007200AE">
        <w:rPr>
          <w:rFonts w:ascii="Calibri" w:eastAsia="Times New Roman" w:hAnsi="Calibri" w:cs="Calibri"/>
          <w:color w:val="000000"/>
          <w:lang w:eastAsia="tr-TR"/>
        </w:rPr>
        <w:t>dan yararlanmak isteyen</w:t>
      </w:r>
      <w:r w:rsidR="00D86ACC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girişimcilerin sağlamaları gereken ön şartlar; daha önce </w:t>
      </w:r>
      <w:proofErr w:type="spellStart"/>
      <w:r w:rsidRPr="007200AE">
        <w:rPr>
          <w:rFonts w:ascii="Calibri" w:eastAsia="Times New Roman" w:hAnsi="Calibri" w:cs="Calibri"/>
          <w:color w:val="000000"/>
          <w:lang w:eastAsia="tr-TR"/>
        </w:rPr>
        <w:t>Teknogirişim</w:t>
      </w:r>
      <w:proofErr w:type="spellEnd"/>
      <w:r w:rsidRPr="007200AE">
        <w:rPr>
          <w:rFonts w:ascii="Calibri" w:eastAsia="Times New Roman" w:hAnsi="Calibri" w:cs="Calibri"/>
          <w:color w:val="000000"/>
          <w:lang w:eastAsia="tr-TR"/>
        </w:rPr>
        <w:t xml:space="preserve"> Sermayesi ya da TÜBİTAK 1512 desteği almamış olmak ve herhangi bir şirkette ortaklığı bulunmama</w:t>
      </w:r>
      <w:r w:rsidR="00F354C0">
        <w:rPr>
          <w:rFonts w:ascii="Calibri" w:eastAsia="Times New Roman" w:hAnsi="Calibri" w:cs="Calibri"/>
          <w:color w:val="000000"/>
          <w:lang w:eastAsia="tr-TR"/>
        </w:rPr>
        <w:t>sı gerekmektedir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. Gerekli şartları sağlayan girişimciler ön ödemeli </w:t>
      </w:r>
      <w:r w:rsidR="00F354C0">
        <w:rPr>
          <w:rFonts w:ascii="Calibri" w:eastAsia="Times New Roman" w:hAnsi="Calibri" w:cs="Calibri"/>
          <w:color w:val="000000"/>
          <w:lang w:eastAsia="tr-TR"/>
        </w:rPr>
        <w:t>450</w:t>
      </w:r>
      <w:r w:rsidRPr="007200AE">
        <w:rPr>
          <w:rFonts w:ascii="Calibri" w:eastAsia="Times New Roman" w:hAnsi="Calibri" w:cs="Calibri"/>
          <w:color w:val="000000"/>
          <w:lang w:eastAsia="tr-TR"/>
        </w:rPr>
        <w:t xml:space="preserve">.000TL hibe desteği alabilecekler.  </w:t>
      </w:r>
    </w:p>
    <w:p w14:paraId="545E2922" w14:textId="02DC49C3" w:rsidR="002E0E56" w:rsidRDefault="002E0E56" w:rsidP="007C63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80663FA" w14:textId="0836649F" w:rsidR="00CA0161" w:rsidRDefault="00CA0161" w:rsidP="007C63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4F6BF3" w14:textId="77777777" w:rsidR="00CA0161" w:rsidRPr="001619F9" w:rsidRDefault="00CA0161" w:rsidP="00CA0161">
      <w:pPr>
        <w:spacing w:after="0" w:line="240" w:lineRule="auto"/>
        <w:rPr>
          <w:rFonts w:cstheme="minorHAnsi"/>
          <w:b/>
          <w:lang w:val="en-GB"/>
        </w:rPr>
      </w:pPr>
      <w:proofErr w:type="spellStart"/>
      <w:r w:rsidRPr="001619F9">
        <w:rPr>
          <w:rFonts w:cstheme="minorHAnsi"/>
          <w:b/>
          <w:lang w:val="en-GB"/>
        </w:rPr>
        <w:t>Detaylı</w:t>
      </w:r>
      <w:proofErr w:type="spellEnd"/>
      <w:r w:rsidRPr="001619F9">
        <w:rPr>
          <w:rFonts w:cstheme="minorHAnsi"/>
          <w:b/>
          <w:lang w:val="en-GB"/>
        </w:rPr>
        <w:t xml:space="preserve"> Bilgi </w:t>
      </w:r>
      <w:proofErr w:type="spellStart"/>
      <w:r w:rsidRPr="001619F9">
        <w:rPr>
          <w:rFonts w:cstheme="minorHAnsi"/>
          <w:b/>
          <w:lang w:val="en-GB"/>
        </w:rPr>
        <w:t>İçin</w:t>
      </w:r>
      <w:proofErr w:type="spellEnd"/>
      <w:r w:rsidRPr="001619F9">
        <w:rPr>
          <w:rFonts w:cstheme="minorHAnsi"/>
          <w:b/>
          <w:lang w:val="en-GB"/>
        </w:rPr>
        <w:t>:</w:t>
      </w:r>
    </w:p>
    <w:p w14:paraId="16ECF8C9" w14:textId="77777777" w:rsidR="00CA0161" w:rsidRPr="001619F9" w:rsidRDefault="00CA0161" w:rsidP="00CA0161">
      <w:pPr>
        <w:spacing w:after="0" w:line="240" w:lineRule="auto"/>
        <w:rPr>
          <w:rFonts w:cstheme="minorHAnsi"/>
          <w:b/>
          <w:lang w:val="en-GB"/>
        </w:rPr>
      </w:pPr>
      <w:r w:rsidRPr="001619F9">
        <w:rPr>
          <w:rFonts w:cstheme="minorHAnsi"/>
          <w:b/>
          <w:bCs/>
          <w:color w:val="000000"/>
          <w:lang w:val="en-GB"/>
        </w:rPr>
        <w:t>Lorbi PR</w:t>
      </w:r>
    </w:p>
    <w:p w14:paraId="1C10F0A4" w14:textId="77777777" w:rsidR="00CA0161" w:rsidRPr="001619F9" w:rsidRDefault="00CA0161" w:rsidP="00CA0161">
      <w:pPr>
        <w:spacing w:after="0" w:line="240" w:lineRule="auto"/>
        <w:jc w:val="both"/>
        <w:rPr>
          <w:rFonts w:cstheme="minorHAnsi"/>
        </w:rPr>
      </w:pPr>
      <w:r w:rsidRPr="001619F9">
        <w:rPr>
          <w:rFonts w:cstheme="minorHAnsi"/>
          <w:b/>
          <w:bCs/>
        </w:rPr>
        <w:t xml:space="preserve">Nurcan </w:t>
      </w:r>
      <w:proofErr w:type="gramStart"/>
      <w:r w:rsidRPr="001619F9">
        <w:rPr>
          <w:rFonts w:cstheme="minorHAnsi"/>
          <w:b/>
          <w:bCs/>
        </w:rPr>
        <w:t>Arda</w:t>
      </w:r>
      <w:r w:rsidRPr="001619F9">
        <w:rPr>
          <w:rFonts w:cstheme="minorHAnsi"/>
        </w:rPr>
        <w:t xml:space="preserve"> -</w:t>
      </w:r>
      <w:proofErr w:type="gramEnd"/>
      <w:r w:rsidRPr="001619F9">
        <w:rPr>
          <w:rFonts w:cstheme="minorHAnsi"/>
        </w:rPr>
        <w:t xml:space="preserve"> </w:t>
      </w:r>
      <w:hyperlink r:id="rId10" w:history="1">
        <w:r w:rsidRPr="001619F9">
          <w:rPr>
            <w:rStyle w:val="Kpr"/>
            <w:rFonts w:cstheme="minorHAnsi"/>
          </w:rPr>
          <w:t>nurcan.arda@lorbi.com</w:t>
        </w:r>
      </w:hyperlink>
      <w:r w:rsidRPr="001619F9">
        <w:rPr>
          <w:rFonts w:cstheme="minorHAnsi"/>
        </w:rPr>
        <w:t xml:space="preserve"> – 0532 768 64 68</w:t>
      </w:r>
    </w:p>
    <w:p w14:paraId="29BED71E" w14:textId="77777777" w:rsidR="00CA0161" w:rsidRDefault="00CA0161" w:rsidP="007C63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CA0161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B654" w14:textId="77777777" w:rsidR="00085F94" w:rsidRDefault="00085F94">
      <w:pPr>
        <w:spacing w:after="0" w:line="240" w:lineRule="auto"/>
      </w:pPr>
      <w:r>
        <w:separator/>
      </w:r>
    </w:p>
  </w:endnote>
  <w:endnote w:type="continuationSeparator" w:id="0">
    <w:p w14:paraId="52DC979B" w14:textId="77777777" w:rsidR="00085F94" w:rsidRDefault="000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A21" w14:textId="77777777" w:rsidR="00085F94" w:rsidRDefault="00085F94">
      <w:pPr>
        <w:spacing w:after="0" w:line="240" w:lineRule="auto"/>
      </w:pPr>
      <w:r>
        <w:separator/>
      </w:r>
    </w:p>
  </w:footnote>
  <w:footnote w:type="continuationSeparator" w:id="0">
    <w:p w14:paraId="2E816F27" w14:textId="77777777" w:rsidR="00085F94" w:rsidRDefault="0008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039" w14:textId="77777777" w:rsidR="002E0E56" w:rsidRDefault="00E476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24DC503" wp14:editId="6C8BC80C">
          <wp:simplePos x="0" y="0"/>
          <wp:positionH relativeFrom="column">
            <wp:posOffset>5005705</wp:posOffset>
          </wp:positionH>
          <wp:positionV relativeFrom="paragraph">
            <wp:posOffset>-388620</wp:posOffset>
          </wp:positionV>
          <wp:extent cx="1523365" cy="1077595"/>
          <wp:effectExtent l="0" t="0" r="635" b="8255"/>
          <wp:wrapTight wrapText="bothSides">
            <wp:wrapPolygon edited="0">
              <wp:start x="0" y="0"/>
              <wp:lineTo x="0" y="21384"/>
              <wp:lineTo x="21339" y="21384"/>
              <wp:lineTo x="21339" y="0"/>
              <wp:lineTo x="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4159"/>
    <w:multiLevelType w:val="hybridMultilevel"/>
    <w:tmpl w:val="94DE94AE"/>
    <w:lvl w:ilvl="0" w:tplc="4A82F4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645C82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B2"/>
    <w:rsid w:val="00001B88"/>
    <w:rsid w:val="00030FED"/>
    <w:rsid w:val="0008561A"/>
    <w:rsid w:val="00085F94"/>
    <w:rsid w:val="000933E5"/>
    <w:rsid w:val="000C4C18"/>
    <w:rsid w:val="000D6357"/>
    <w:rsid w:val="000E4B14"/>
    <w:rsid w:val="001155A4"/>
    <w:rsid w:val="001173D9"/>
    <w:rsid w:val="001249B3"/>
    <w:rsid w:val="001A1773"/>
    <w:rsid w:val="001B3322"/>
    <w:rsid w:val="001B5B4E"/>
    <w:rsid w:val="001D0D8A"/>
    <w:rsid w:val="001F1796"/>
    <w:rsid w:val="001F1D71"/>
    <w:rsid w:val="00200A6F"/>
    <w:rsid w:val="00206C13"/>
    <w:rsid w:val="00245034"/>
    <w:rsid w:val="002655F2"/>
    <w:rsid w:val="00292909"/>
    <w:rsid w:val="00292D17"/>
    <w:rsid w:val="002A38F3"/>
    <w:rsid w:val="002A4647"/>
    <w:rsid w:val="002C05C6"/>
    <w:rsid w:val="002E0E56"/>
    <w:rsid w:val="002F4B34"/>
    <w:rsid w:val="00311C9B"/>
    <w:rsid w:val="0033140E"/>
    <w:rsid w:val="0035191A"/>
    <w:rsid w:val="0035275E"/>
    <w:rsid w:val="003A07D3"/>
    <w:rsid w:val="003A5837"/>
    <w:rsid w:val="003B0857"/>
    <w:rsid w:val="003B53A1"/>
    <w:rsid w:val="003B6ACE"/>
    <w:rsid w:val="003C187D"/>
    <w:rsid w:val="003C7A1B"/>
    <w:rsid w:val="003E63EE"/>
    <w:rsid w:val="0042474C"/>
    <w:rsid w:val="004336AA"/>
    <w:rsid w:val="0044743E"/>
    <w:rsid w:val="00481342"/>
    <w:rsid w:val="004E3F13"/>
    <w:rsid w:val="00525B13"/>
    <w:rsid w:val="00526A19"/>
    <w:rsid w:val="00551E87"/>
    <w:rsid w:val="005621EC"/>
    <w:rsid w:val="005855E8"/>
    <w:rsid w:val="00594E32"/>
    <w:rsid w:val="005A4CFE"/>
    <w:rsid w:val="005E5C44"/>
    <w:rsid w:val="00600A44"/>
    <w:rsid w:val="00605921"/>
    <w:rsid w:val="006243E3"/>
    <w:rsid w:val="00630151"/>
    <w:rsid w:val="00651ED3"/>
    <w:rsid w:val="006829B4"/>
    <w:rsid w:val="00693514"/>
    <w:rsid w:val="006B7FA3"/>
    <w:rsid w:val="006C174D"/>
    <w:rsid w:val="006D2C53"/>
    <w:rsid w:val="007200AE"/>
    <w:rsid w:val="00735D3B"/>
    <w:rsid w:val="007916DB"/>
    <w:rsid w:val="007B654C"/>
    <w:rsid w:val="007B7077"/>
    <w:rsid w:val="007C6397"/>
    <w:rsid w:val="007E1289"/>
    <w:rsid w:val="007E197F"/>
    <w:rsid w:val="00800AC4"/>
    <w:rsid w:val="00835D07"/>
    <w:rsid w:val="00843020"/>
    <w:rsid w:val="008508E6"/>
    <w:rsid w:val="0088144E"/>
    <w:rsid w:val="008928F6"/>
    <w:rsid w:val="008E440D"/>
    <w:rsid w:val="008F342B"/>
    <w:rsid w:val="00922CCA"/>
    <w:rsid w:val="009238C1"/>
    <w:rsid w:val="009302C2"/>
    <w:rsid w:val="0097041B"/>
    <w:rsid w:val="009A4B34"/>
    <w:rsid w:val="009A6F22"/>
    <w:rsid w:val="009C3F27"/>
    <w:rsid w:val="009D7BB2"/>
    <w:rsid w:val="00A40379"/>
    <w:rsid w:val="00A42404"/>
    <w:rsid w:val="00A62AEC"/>
    <w:rsid w:val="00A826DB"/>
    <w:rsid w:val="00A84154"/>
    <w:rsid w:val="00A9119F"/>
    <w:rsid w:val="00A9203C"/>
    <w:rsid w:val="00B02202"/>
    <w:rsid w:val="00B107C3"/>
    <w:rsid w:val="00BC041C"/>
    <w:rsid w:val="00BE3AD9"/>
    <w:rsid w:val="00BF16DA"/>
    <w:rsid w:val="00C31E49"/>
    <w:rsid w:val="00C44412"/>
    <w:rsid w:val="00C74B43"/>
    <w:rsid w:val="00C87DD8"/>
    <w:rsid w:val="00CA0161"/>
    <w:rsid w:val="00CB45B4"/>
    <w:rsid w:val="00CC7C89"/>
    <w:rsid w:val="00CD32C4"/>
    <w:rsid w:val="00CF7F79"/>
    <w:rsid w:val="00D04FB3"/>
    <w:rsid w:val="00D16C95"/>
    <w:rsid w:val="00D855E5"/>
    <w:rsid w:val="00D86ACC"/>
    <w:rsid w:val="00DC3C45"/>
    <w:rsid w:val="00DD5A26"/>
    <w:rsid w:val="00DE0ECB"/>
    <w:rsid w:val="00DE79CD"/>
    <w:rsid w:val="00E416BD"/>
    <w:rsid w:val="00E42657"/>
    <w:rsid w:val="00E47666"/>
    <w:rsid w:val="00E54273"/>
    <w:rsid w:val="00E6332C"/>
    <w:rsid w:val="00E66876"/>
    <w:rsid w:val="00E66ECC"/>
    <w:rsid w:val="00E75E55"/>
    <w:rsid w:val="00E90F61"/>
    <w:rsid w:val="00EA411C"/>
    <w:rsid w:val="00EE14F9"/>
    <w:rsid w:val="00EE4E2C"/>
    <w:rsid w:val="00F140E5"/>
    <w:rsid w:val="00F15089"/>
    <w:rsid w:val="00F348F1"/>
    <w:rsid w:val="00F354C0"/>
    <w:rsid w:val="00F54B88"/>
    <w:rsid w:val="00F85B2F"/>
    <w:rsid w:val="00F911A5"/>
    <w:rsid w:val="00F93B7C"/>
    <w:rsid w:val="00FA31DA"/>
    <w:rsid w:val="00FE08FA"/>
    <w:rsid w:val="11C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BAD1"/>
  <w15:docId w15:val="{8D123622-EEDC-4A55-B9C4-134D21EE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25B1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rsid w:val="007C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urcan.arda@lorbi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ubeincubation.com/basvu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B6307A-FD09-4E8A-93C6-E27EC9FC5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Akşit</dc:creator>
  <cp:lastModifiedBy>User</cp:lastModifiedBy>
  <cp:revision>9</cp:revision>
  <cp:lastPrinted>2019-08-08T13:19:00Z</cp:lastPrinted>
  <dcterms:created xsi:type="dcterms:W3CDTF">2020-10-08T14:54:00Z</dcterms:created>
  <dcterms:modified xsi:type="dcterms:W3CDTF">2023-01-03T08:16:00Z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